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left"/>
      </w:pPr>
      <w:r>
        <w:rPr>
          <w:b/>
          <w:color w:val="7C2D12"/>
          <w:sz w:val="40"/>
        </w:rPr>
        <w:t>Fiche de poste — Responsable des ressources humaines (RRH)</w:t>
      </w:r>
    </w:p>
    <w:p>
      <w:pPr>
        <w:spacing w:after="320"/>
      </w:pPr>
      <w:r>
        <w:rPr>
          <w:i/>
          <w:color w:val="4A3B30"/>
          <w:sz w:val="21"/>
        </w:rPr>
        <w:t>Exemple rempli — Cercle RH — cohérent avec la fiche métier RRH (cercle-rh.fr)</w:t>
      </w:r>
    </w:p>
    <w:p>
      <w:pPr>
        <w:spacing w:before="320" w:after="120"/>
        <w:pBdr>
          <w:bottom w:val="single" w:sz="6" w:space="1" w:color="EADFCF"/>
        </w:pBdr>
      </w:pPr>
      <w:r>
        <w:rPr>
          <w:b/>
          <w:color w:val="A16007"/>
          <w:sz w:val="25"/>
        </w:rPr>
        <w:t>1. IDENTIFICATION DU POSTE</w:t>
      </w:r>
    </w:p>
    <w:tbl>
      <w:tblPr>
        <w:tblW w:type="auto" w:w="0"/>
        <w:jc w:val="left"/>
        <w:tblLayout w:type="autofit"/>
        <w:tblLook w:firstColumn="1" w:firstRow="1" w:lastColumn="0" w:lastRow="0" w:noHBand="0" w:noVBand="1" w:val="04A0"/>
      </w:tblPr>
      <w:tblGrid>
        <w:gridCol w:w="4320"/>
        <w:gridCol w:w="4320"/>
      </w:tblGrid>
      <w:tr>
        <w:tc>
          <w:tcPr>
            <w:tcW w:type="dxa" w:w="2835"/>
            <w:shd w:val="clear" w:fill="FAF5EF"/>
          </w:tcPr>
          <w:p>
            <w:r>
              <w:rPr>
                <w:b/>
                <w:color w:val="7C2D12"/>
                <w:sz w:val="21"/>
              </w:rPr>
              <w:t>Intitulé du poste</w:t>
            </w:r>
          </w:p>
        </w:tc>
        <w:tc>
          <w:tcPr>
            <w:tcW w:type="dxa" w:w="6236"/>
          </w:tcPr>
          <w:p>
            <w:r>
              <w:rPr>
                <w:sz w:val="21"/>
              </w:rPr>
              <w:t>Responsable des ressources humaines (RRH)</w:t>
            </w:r>
          </w:p>
        </w:tc>
      </w:tr>
      <w:tr>
        <w:tc>
          <w:tcPr>
            <w:tcW w:type="dxa" w:w="2835"/>
            <w:shd w:val="clear" w:fill="FAF5EF"/>
          </w:tcPr>
          <w:p>
            <w:r>
              <w:rPr>
                <w:b/>
                <w:color w:val="7C2D12"/>
                <w:sz w:val="21"/>
              </w:rPr>
              <w:t>Service / Direction</w:t>
            </w:r>
          </w:p>
        </w:tc>
        <w:tc>
          <w:tcPr>
            <w:tcW w:type="dxa" w:w="6236"/>
          </w:tcPr>
          <w:p>
            <w:r>
              <w:rPr>
                <w:sz w:val="21"/>
              </w:rPr>
              <w:t>Direction des ressources humaines ou Direction générale (PME sans DRH)</w:t>
            </w:r>
          </w:p>
        </w:tc>
      </w:tr>
      <w:tr>
        <w:tc>
          <w:tcPr>
            <w:tcW w:type="dxa" w:w="2835"/>
            <w:shd w:val="clear" w:fill="FAF5EF"/>
          </w:tcPr>
          <w:p>
            <w:r>
              <w:rPr>
                <w:b/>
                <w:color w:val="7C2D12"/>
                <w:sz w:val="21"/>
              </w:rPr>
              <w:t>Rattachement hiérarchique</w:t>
            </w:r>
          </w:p>
        </w:tc>
        <w:tc>
          <w:tcPr>
            <w:tcW w:type="dxa" w:w="6236"/>
          </w:tcPr>
          <w:p>
            <w:r>
              <w:rPr>
                <w:sz w:val="21"/>
              </w:rPr>
              <w:t>DRH (groupe) ou Direction générale (PME/site autonome)</w:t>
            </w:r>
          </w:p>
        </w:tc>
      </w:tr>
      <w:tr>
        <w:tc>
          <w:tcPr>
            <w:tcW w:type="dxa" w:w="2835"/>
            <w:shd w:val="clear" w:fill="FAF5EF"/>
          </w:tcPr>
          <w:p>
            <w:r>
              <w:rPr>
                <w:b/>
                <w:color w:val="7C2D12"/>
                <w:sz w:val="21"/>
              </w:rPr>
              <w:t>Lieu d'exercice</w:t>
            </w:r>
          </w:p>
        </w:tc>
        <w:tc>
          <w:tcPr>
            <w:tcW w:type="dxa" w:w="6236"/>
          </w:tcPr>
          <w:p>
            <w:r>
              <w:rPr>
                <w:sz w:val="21"/>
              </w:rPr>
              <w:t>Siège ou site — déplacements selon le périmètre (multi-sites)</w:t>
            </w:r>
          </w:p>
        </w:tc>
      </w:tr>
      <w:tr>
        <w:tc>
          <w:tcPr>
            <w:tcW w:type="dxa" w:w="2835"/>
            <w:shd w:val="clear" w:fill="FAF5EF"/>
          </w:tcPr>
          <w:p>
            <w:r>
              <w:rPr>
                <w:b/>
                <w:color w:val="7C2D12"/>
                <w:sz w:val="21"/>
              </w:rPr>
              <w:t>Statut</w:t>
            </w:r>
          </w:p>
        </w:tc>
        <w:tc>
          <w:tcPr>
            <w:tcW w:type="dxa" w:w="6236"/>
          </w:tcPr>
          <w:p>
            <w:r>
              <w:rPr>
                <w:sz w:val="21"/>
              </w:rPr>
              <w:t>Cadre</w:t>
            </w:r>
          </w:p>
        </w:tc>
      </w:tr>
      <w:tr>
        <w:tc>
          <w:tcPr>
            <w:tcW w:type="dxa" w:w="2835"/>
            <w:shd w:val="clear" w:fill="FAF5EF"/>
          </w:tcPr>
          <w:p>
            <w:r>
              <w:rPr>
                <w:b/>
                <w:color w:val="7C2D12"/>
                <w:sz w:val="21"/>
              </w:rPr>
              <w:t>Classification conventionnelle</w:t>
            </w:r>
          </w:p>
        </w:tc>
        <w:tc>
          <w:tcPr>
            <w:tcW w:type="dxa" w:w="6236"/>
          </w:tcPr>
          <w:p>
            <w:r>
              <w:rPr>
                <w:sz w:val="21"/>
              </w:rPr>
              <w:t>Position cadre à préciser selon la convention collective applicable</w:t>
            </w:r>
          </w:p>
        </w:tc>
      </w:tr>
      <w:tr>
        <w:tc>
          <w:tcPr>
            <w:tcW w:type="dxa" w:w="2835"/>
            <w:shd w:val="clear" w:fill="FAF5EF"/>
          </w:tcPr>
          <w:p>
            <w:r>
              <w:rPr>
                <w:b/>
                <w:color w:val="7C2D12"/>
                <w:sz w:val="21"/>
              </w:rPr>
              <w:t>Code ROME de référence</w:t>
            </w:r>
          </w:p>
        </w:tc>
        <w:tc>
          <w:tcPr>
            <w:tcW w:type="dxa" w:w="6236"/>
          </w:tcPr>
          <w:p>
            <w:r>
              <w:rPr>
                <w:sz w:val="21"/>
              </w:rPr>
              <w:t>M1503 — Management des ressources humaines (France Travail)</w:t>
            </w:r>
          </w:p>
        </w:tc>
      </w:tr>
    </w:tbl>
    <w:p>
      <w:pPr>
        <w:spacing w:before="320" w:after="120"/>
        <w:pBdr>
          <w:bottom w:val="single" w:sz="6" w:space="1" w:color="EADFCF"/>
        </w:pBdr>
      </w:pPr>
      <w:r>
        <w:rPr>
          <w:b/>
          <w:color w:val="A16007"/>
          <w:sz w:val="25"/>
        </w:rPr>
        <w:t>2. FINALITÉ DU POSTE</w:t>
      </w:r>
    </w:p>
    <w:p>
      <w:pPr>
        <w:spacing w:after="160"/>
      </w:pPr>
      <w:r>
        <w:rPr>
          <w:i w:val="0"/>
          <w:sz w:val="21"/>
        </w:rPr>
        <w:t>Le RRH décline la politique RH de l'entreprise sur son périmètre (site, filiale, business unit) et arbitre entre recrutement, formation, gestion de la masse salariale et relations sociales lorsque ces besoins entrent en tension.</w:t>
      </w:r>
    </w:p>
    <w:p>
      <w:pPr>
        <w:spacing w:before="320" w:after="120"/>
        <w:pBdr>
          <w:bottom w:val="single" w:sz="6" w:space="1" w:color="EADFCF"/>
        </w:pBdr>
      </w:pPr>
      <w:r>
        <w:rPr>
          <w:b/>
          <w:color w:val="A16007"/>
          <w:sz w:val="25"/>
        </w:rPr>
        <w:t>3. MISSIONS ET ACTIVITÉS PRINCIPALES</w:t>
      </w:r>
    </w:p>
    <w:p>
      <w:pPr>
        <w:pStyle w:val="ListBullet"/>
        <w:spacing w:after="60"/>
      </w:pPr>
      <w:r>
        <w:rPr>
          <w:sz w:val="21"/>
        </w:rPr>
        <w:t>Définir et déployer la politique RH sur le périmètre confié, en cohérence avec la direction générale</w:t>
      </w:r>
    </w:p>
    <w:p>
      <w:pPr>
        <w:pStyle w:val="ListBullet"/>
        <w:spacing w:after="60"/>
      </w:pPr>
      <w:r>
        <w:rPr>
          <w:sz w:val="21"/>
        </w:rPr>
        <w:t>Piloter le recrutement, la gestion des carrières et la gestion prévisionnelle des emplois et des compétences (GEPP)</w:t>
      </w:r>
    </w:p>
    <w:p>
      <w:pPr>
        <w:pStyle w:val="ListBullet"/>
        <w:spacing w:after="60"/>
      </w:pPr>
      <w:r>
        <w:rPr>
          <w:sz w:val="21"/>
        </w:rPr>
        <w:t>Superviser ou réaliser l'administration du personnel et la paie (directement ou via un prestataire)</w:t>
      </w:r>
    </w:p>
    <w:p>
      <w:pPr>
        <w:pStyle w:val="ListBullet"/>
        <w:spacing w:after="60"/>
      </w:pPr>
      <w:r>
        <w:rPr>
          <w:sz w:val="21"/>
        </w:rPr>
        <w:t>Animer le dialogue social et préparer les instances représentatives du personnel (CSE) s'il y en a</w:t>
      </w:r>
    </w:p>
    <w:p>
      <w:pPr>
        <w:pStyle w:val="ListBullet"/>
        <w:spacing w:after="60"/>
      </w:pPr>
      <w:r>
        <w:rPr>
          <w:sz w:val="21"/>
        </w:rPr>
        <w:t>Conseiller les dirigeants et les managers sur les sujets RH (droit social, organisation, conduite du changement)</w:t>
      </w:r>
    </w:p>
    <w:p>
      <w:pPr>
        <w:pStyle w:val="ListBullet"/>
        <w:spacing w:after="60"/>
      </w:pPr>
      <w:r>
        <w:rPr>
          <w:sz w:val="21"/>
        </w:rPr>
        <w:t>Piloter la masse salariale et les indicateurs sociaux du périmètre</w:t>
      </w:r>
    </w:p>
    <w:p>
      <w:pPr>
        <w:spacing w:before="320" w:after="120"/>
        <w:pBdr>
          <w:bottom w:val="single" w:sz="6" w:space="1" w:color="EADFCF"/>
        </w:pBdr>
      </w:pPr>
      <w:r>
        <w:rPr>
          <w:b/>
          <w:color w:val="A16007"/>
          <w:sz w:val="25"/>
        </w:rPr>
        <w:t>4. COMPÉTENCES REQUISES</w:t>
      </w:r>
    </w:p>
    <w:p>
      <w:r>
        <w:rPr>
          <w:b/>
          <w:color w:val="7C2D12"/>
          <w:sz w:val="21"/>
        </w:rPr>
        <w:t>Compétences techniques</w:t>
      </w:r>
    </w:p>
    <w:p>
      <w:pPr>
        <w:pStyle w:val="ListBullet"/>
        <w:spacing w:after="60"/>
      </w:pPr>
      <w:r>
        <w:rPr>
          <w:sz w:val="21"/>
        </w:rPr>
        <w:t>Solide culture juridique en droit du travail et droit social</w:t>
      </w:r>
    </w:p>
    <w:p>
      <w:pPr>
        <w:pStyle w:val="ListBullet"/>
        <w:spacing w:after="60"/>
      </w:pPr>
      <w:r>
        <w:rPr>
          <w:sz w:val="21"/>
        </w:rPr>
        <w:t>Maîtrise de la gestion de la masse salariale et des indicateurs RH</w:t>
      </w:r>
    </w:p>
    <w:p>
      <w:pPr>
        <w:pStyle w:val="ListBullet"/>
        <w:spacing w:after="60"/>
      </w:pPr>
      <w:r>
        <w:rPr>
          <w:sz w:val="21"/>
        </w:rPr>
        <w:t>Connaissance des relations sociales et du fonctionnement des IRP</w:t>
      </w:r>
    </w:p>
    <w:p>
      <w:r>
        <w:rPr>
          <w:b/>
          <w:color w:val="7C2D12"/>
          <w:sz w:val="21"/>
        </w:rPr>
        <w:t>Compétences comportementales</w:t>
      </w:r>
    </w:p>
    <w:p>
      <w:pPr>
        <w:pStyle w:val="ListBullet"/>
        <w:spacing w:after="60"/>
      </w:pPr>
      <w:r>
        <w:rPr>
          <w:sz w:val="21"/>
        </w:rPr>
        <w:t>Capacité d'arbitrage entre des besoins RH concurrents</w:t>
      </w:r>
    </w:p>
    <w:p>
      <w:pPr>
        <w:pStyle w:val="ListBullet"/>
        <w:spacing w:after="60"/>
      </w:pPr>
      <w:r>
        <w:rPr>
          <w:sz w:val="21"/>
        </w:rPr>
        <w:t>Leadership et posture de conseil vis-à-vis de la direction</w:t>
      </w:r>
    </w:p>
    <w:p>
      <w:pPr>
        <w:pStyle w:val="ListBullet"/>
        <w:spacing w:after="60"/>
      </w:pPr>
      <w:r>
        <w:rPr>
          <w:sz w:val="21"/>
        </w:rPr>
        <w:t>Autonomie — poste souvent isolé en PME (50 à 250 salariés)</w:t>
      </w:r>
    </w:p>
    <w:p>
      <w:pPr>
        <w:spacing w:before="320" w:after="120"/>
        <w:pBdr>
          <w:bottom w:val="single" w:sz="6" w:space="1" w:color="EADFCF"/>
        </w:pBdr>
      </w:pPr>
      <w:r>
        <w:rPr>
          <w:b/>
          <w:color w:val="A16007"/>
          <w:sz w:val="25"/>
        </w:rPr>
        <w:t>5. FORMATION ET EXPÉRIENCE</w:t>
      </w:r>
    </w:p>
    <w:p>
      <w:pPr>
        <w:spacing w:after="160"/>
      </w:pPr>
      <w:r>
        <w:rPr>
          <w:i w:val="0"/>
          <w:sz w:val="21"/>
        </w:rPr>
        <w:t>Bac+5 (Master RH, droit social, école de commerce spécialisée). 5 à 10 ans d'expérience en fonction RH généraliste, souvent après un parcours assistant RH puis chargé de recrutement ou gestionnaire de paie.</w:t>
      </w:r>
    </w:p>
    <w:p>
      <w:pPr>
        <w:spacing w:before="320" w:after="120"/>
        <w:pBdr>
          <w:bottom w:val="single" w:sz="6" w:space="1" w:color="EADFCF"/>
        </w:pBdr>
      </w:pPr>
      <w:r>
        <w:rPr>
          <w:b/>
          <w:color w:val="A16007"/>
          <w:sz w:val="25"/>
        </w:rPr>
        <w:t>6. CONDITIONS D'EXERCICE</w:t>
      </w:r>
    </w:p>
    <w:p>
      <w:pPr>
        <w:pStyle w:val="ListBullet"/>
        <w:spacing w:after="60"/>
      </w:pPr>
      <w:r>
        <w:rPr>
          <w:sz w:val="21"/>
        </w:rPr>
        <w:t>Horaires : forfait jours le plus souvent</w:t>
      </w:r>
    </w:p>
    <w:p>
      <w:pPr>
        <w:pStyle w:val="ListBullet"/>
        <w:spacing w:after="60"/>
      </w:pPr>
      <w:r>
        <w:rPr>
          <w:sz w:val="21"/>
        </w:rPr>
        <w:t>Déplacements : réguliers si le périmètre est multi-sites</w:t>
      </w:r>
    </w:p>
    <w:p>
      <w:pPr>
        <w:pStyle w:val="ListBullet"/>
        <w:spacing w:after="60"/>
      </w:pPr>
      <w:r>
        <w:rPr>
          <w:sz w:val="21"/>
        </w:rPr>
        <w:t>Télétravail : selon accord d'entreprise, souvent limité par la nécessité de présence terrain</w:t>
      </w:r>
    </w:p>
    <w:p>
      <w:pPr>
        <w:pStyle w:val="ListBullet"/>
        <w:spacing w:after="60"/>
      </w:pPr>
      <w:r>
        <w:rPr>
          <w:sz w:val="21"/>
        </w:rPr>
        <w:t>Contraintes spécifiques : responsabilité en cas de contentieux social</w:t>
      </w:r>
    </w:p>
    <w:p>
      <w:pPr>
        <w:spacing w:before="320" w:after="120"/>
        <w:pBdr>
          <w:bottom w:val="single" w:sz="6" w:space="1" w:color="EADFCF"/>
        </w:pBdr>
      </w:pPr>
      <w:r>
        <w:rPr>
          <w:b/>
          <w:color w:val="A16007"/>
          <w:sz w:val="25"/>
        </w:rPr>
        <w:t>7. ÉVOLUTION POSSIBLE</w:t>
      </w:r>
    </w:p>
    <w:p>
      <w:pPr>
        <w:spacing w:after="160"/>
      </w:pPr>
      <w:r>
        <w:rPr>
          <w:i w:val="0"/>
          <w:sz w:val="21"/>
        </w:rPr>
        <w:t>Vers un poste de DRH (groupe ou multi-sites) après plusieurs années dans la fonction. Passerelle possible vers un poste de directeur des relations sociales dans les grandes structures.</w:t>
      </w:r>
    </w:p>
    <w:p>
      <w:pPr>
        <w:spacing w:before="320" w:after="120"/>
        <w:pBdr>
          <w:bottom w:val="single" w:sz="6" w:space="1" w:color="EADFCF"/>
        </w:pBdr>
      </w:pPr>
      <w:r>
        <w:rPr>
          <w:b/>
          <w:color w:val="A16007"/>
          <w:sz w:val="25"/>
        </w:rPr>
        <w:t>8. VALIDATION</w:t>
      </w:r>
    </w:p>
    <w:tbl>
      <w:tblPr>
        <w:tblW w:type="auto" w:w="0"/>
        <w:jc w:val="left"/>
        <w:tblLayout w:type="autofit"/>
        <w:tblLook w:firstColumn="1" w:firstRow="1" w:lastColumn="0" w:lastRow="0" w:noHBand="0" w:noVBand="1" w:val="04A0"/>
      </w:tblPr>
      <w:tblGrid>
        <w:gridCol w:w="4320"/>
        <w:gridCol w:w="4320"/>
      </w:tblGrid>
      <w:tr>
        <w:tc>
          <w:tcPr>
            <w:tcW w:type="dxa" w:w="2835"/>
            <w:shd w:val="clear" w:fill="FAF5EF"/>
          </w:tcPr>
          <w:p>
            <w:r>
              <w:rPr>
                <w:b/>
                <w:color w:val="7C2D12"/>
                <w:sz w:val="21"/>
              </w:rPr>
              <w:t>Rédigé par</w:t>
            </w:r>
          </w:p>
        </w:tc>
        <w:tc>
          <w:tcPr>
            <w:tcW w:type="dxa" w:w="6236"/>
          </w:tcPr>
          <w:p>
            <w:r>
              <w:rPr>
                <w:sz w:val="21"/>
              </w:rPr>
              <w:t>[Nom, fonction]</w:t>
            </w:r>
          </w:p>
        </w:tc>
      </w:tr>
      <w:tr>
        <w:tc>
          <w:tcPr>
            <w:tcW w:type="dxa" w:w="2835"/>
            <w:shd w:val="clear" w:fill="FAF5EF"/>
          </w:tcPr>
          <w:p>
            <w:r>
              <w:rPr>
                <w:b/>
                <w:color w:val="7C2D12"/>
                <w:sz w:val="21"/>
              </w:rPr>
              <w:t>Date de rédaction</w:t>
            </w:r>
          </w:p>
        </w:tc>
        <w:tc>
          <w:tcPr>
            <w:tcW w:type="dxa" w:w="6236"/>
          </w:tcPr>
          <w:p>
            <w:r>
              <w:rPr>
                <w:sz w:val="21"/>
              </w:rPr>
              <w:t>[JJ/MM/AAAA]</w:t>
            </w:r>
          </w:p>
        </w:tc>
      </w:tr>
      <w:tr>
        <w:tc>
          <w:tcPr>
            <w:tcW w:type="dxa" w:w="2835"/>
            <w:shd w:val="clear" w:fill="FAF5EF"/>
          </w:tcPr>
          <w:p>
            <w:r>
              <w:rPr>
                <w:b/>
                <w:color w:val="7C2D12"/>
                <w:sz w:val="21"/>
              </w:rPr>
              <w:t>Date de révision prévue</w:t>
            </w:r>
          </w:p>
        </w:tc>
        <w:tc>
          <w:tcPr>
            <w:tcW w:type="dxa" w:w="6236"/>
          </w:tcPr>
          <w:p>
            <w:r>
              <w:rPr>
                <w:sz w:val="21"/>
              </w:rPr>
              <w:t>[JJ/MM/AAAA — une fiche de poste non révisée depuis plus de 2-3 ans perd sa valeur de preuve]</w:t>
            </w:r>
          </w:p>
        </w:tc>
      </w:tr>
      <w:tr>
        <w:tc>
          <w:tcPr>
            <w:tcW w:type="dxa" w:w="2835"/>
            <w:shd w:val="clear" w:fill="FAF5EF"/>
          </w:tcPr>
          <w:p>
            <w:r>
              <w:rPr>
                <w:b/>
                <w:color w:val="7C2D12"/>
                <w:sz w:val="21"/>
              </w:rPr>
              <w:t>Validé par</w:t>
            </w:r>
          </w:p>
        </w:tc>
        <w:tc>
          <w:tcPr>
            <w:tcW w:type="dxa" w:w="6236"/>
          </w:tcPr>
          <w:p>
            <w:r>
              <w:rPr>
                <w:sz w:val="21"/>
              </w:rPr>
              <w:t>[Nom, fonction]</w:t>
            </w:r>
          </w:p>
        </w:tc>
      </w:tr>
    </w:tbl>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4A3B30"/>
        <w:sz w:val="16"/>
      </w:rPr>
      <w:t>Modèle fourni par Cercle RH — cercle-rh.fr — à adapter à votre organisation et à votre convention collective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