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left"/>
      </w:pPr>
      <w:r>
        <w:rPr>
          <w:b/>
          <w:color w:val="7C2D12"/>
          <w:sz w:val="40"/>
        </w:rPr>
        <w:t>Fiche de poste — Gestionnaire de paie</w:t>
      </w:r>
    </w:p>
    <w:p>
      <w:pPr>
        <w:spacing w:after="320"/>
      </w:pPr>
      <w:r>
        <w:rPr>
          <w:i/>
          <w:color w:val="4A3B30"/>
          <w:sz w:val="21"/>
        </w:rPr>
        <w:t>Exemple rempli — Cercle RH — cohérent avec la fiche métier gestionnaire de paie (cercle-rh.fr)</w:t>
      </w:r>
    </w:p>
    <w:p>
      <w:pPr>
        <w:spacing w:before="320" w:after="120"/>
        <w:pBdr>
          <w:bottom w:val="single" w:sz="6" w:space="1" w:color="EADFCF"/>
        </w:pBdr>
      </w:pPr>
      <w:r>
        <w:rPr>
          <w:b/>
          <w:color w:val="A16007"/>
          <w:sz w:val="25"/>
        </w:rPr>
        <w:t>1. IDENTIFICATION DU POSTE</w:t>
      </w: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  <w:shd w:val="clear" w:fill="FAF5EF"/>
          </w:tcPr>
          <w:p>
            <w:r>
              <w:rPr>
                <w:b/>
                <w:color w:val="7C2D12"/>
                <w:sz w:val="21"/>
              </w:rPr>
              <w:t>Intitulé du poste</w:t>
            </w:r>
          </w:p>
        </w:tc>
        <w:tc>
          <w:tcPr>
            <w:tcW w:type="dxa" w:w="6236"/>
          </w:tcPr>
          <w:p>
            <w:r>
              <w:rPr>
                <w:sz w:val="21"/>
              </w:rPr>
              <w:t>Gestionnaire de paie</w:t>
            </w:r>
          </w:p>
        </w:tc>
      </w:tr>
      <w:tr>
        <w:tc>
          <w:tcPr>
            <w:tcW w:type="dxa" w:w="2835"/>
            <w:shd w:val="clear" w:fill="FAF5EF"/>
          </w:tcPr>
          <w:p>
            <w:r>
              <w:rPr>
                <w:b/>
                <w:color w:val="7C2D12"/>
                <w:sz w:val="21"/>
              </w:rPr>
              <w:t>Service / Direction</w:t>
            </w:r>
          </w:p>
        </w:tc>
        <w:tc>
          <w:tcPr>
            <w:tcW w:type="dxa" w:w="6236"/>
          </w:tcPr>
          <w:p>
            <w:r>
              <w:rPr>
                <w:sz w:val="21"/>
              </w:rPr>
              <w:t>Direction des ressources humaines — pôle paie</w:t>
            </w:r>
          </w:p>
        </w:tc>
      </w:tr>
      <w:tr>
        <w:tc>
          <w:tcPr>
            <w:tcW w:type="dxa" w:w="2835"/>
            <w:shd w:val="clear" w:fill="FAF5EF"/>
          </w:tcPr>
          <w:p>
            <w:r>
              <w:rPr>
                <w:b/>
                <w:color w:val="7C2D12"/>
                <w:sz w:val="21"/>
              </w:rPr>
              <w:t>Rattachement hiérarchique</w:t>
            </w:r>
          </w:p>
        </w:tc>
        <w:tc>
          <w:tcPr>
            <w:tcW w:type="dxa" w:w="6236"/>
          </w:tcPr>
          <w:p>
            <w:r>
              <w:rPr>
                <w:sz w:val="21"/>
              </w:rPr>
              <w:t>Responsable paie ou RRH selon la taille de la structure</w:t>
            </w:r>
          </w:p>
        </w:tc>
      </w:tr>
      <w:tr>
        <w:tc>
          <w:tcPr>
            <w:tcW w:type="dxa" w:w="2835"/>
            <w:shd w:val="clear" w:fill="FAF5EF"/>
          </w:tcPr>
          <w:p>
            <w:r>
              <w:rPr>
                <w:b/>
                <w:color w:val="7C2D12"/>
                <w:sz w:val="21"/>
              </w:rPr>
              <w:t>Lieu d'exercice</w:t>
            </w:r>
          </w:p>
        </w:tc>
        <w:tc>
          <w:tcPr>
            <w:tcW w:type="dxa" w:w="6236"/>
          </w:tcPr>
          <w:p>
            <w:r>
              <w:rPr>
                <w:sz w:val="21"/>
              </w:rPr>
              <w:t>Siège — télétravail partiel possible selon accord d'entreprise</w:t>
            </w:r>
          </w:p>
        </w:tc>
      </w:tr>
      <w:tr>
        <w:tc>
          <w:tcPr>
            <w:tcW w:type="dxa" w:w="2835"/>
            <w:shd w:val="clear" w:fill="FAF5EF"/>
          </w:tcPr>
          <w:p>
            <w:r>
              <w:rPr>
                <w:b/>
                <w:color w:val="7C2D12"/>
                <w:sz w:val="21"/>
              </w:rPr>
              <w:t>Statut</w:t>
            </w:r>
          </w:p>
        </w:tc>
        <w:tc>
          <w:tcPr>
            <w:tcW w:type="dxa" w:w="6236"/>
          </w:tcPr>
          <w:p>
            <w:r>
              <w:rPr>
                <w:sz w:val="21"/>
              </w:rPr>
              <w:t>Non-cadre ou agent de maîtrise selon expérience et classification</w:t>
            </w:r>
          </w:p>
        </w:tc>
      </w:tr>
      <w:tr>
        <w:tc>
          <w:tcPr>
            <w:tcW w:type="dxa" w:w="2835"/>
            <w:shd w:val="clear" w:fill="FAF5EF"/>
          </w:tcPr>
          <w:p>
            <w:r>
              <w:rPr>
                <w:b/>
                <w:color w:val="7C2D12"/>
                <w:sz w:val="21"/>
              </w:rPr>
              <w:t>Classification conventionnelle</w:t>
            </w:r>
          </w:p>
        </w:tc>
        <w:tc>
          <w:tcPr>
            <w:tcW w:type="dxa" w:w="6236"/>
          </w:tcPr>
          <w:p>
            <w:r>
              <w:rPr>
                <w:sz w:val="21"/>
              </w:rPr>
              <w:t>À positionner selon la convention collective applicable</w:t>
            </w:r>
          </w:p>
        </w:tc>
      </w:tr>
      <w:tr>
        <w:tc>
          <w:tcPr>
            <w:tcW w:type="dxa" w:w="2835"/>
            <w:shd w:val="clear" w:fill="FAF5EF"/>
          </w:tcPr>
          <w:p>
            <w:r>
              <w:rPr>
                <w:b/>
                <w:color w:val="7C2D12"/>
                <w:sz w:val="21"/>
              </w:rPr>
              <w:t>Code ROME de référence</w:t>
            </w:r>
          </w:p>
        </w:tc>
        <w:tc>
          <w:tcPr>
            <w:tcW w:type="dxa" w:w="6236"/>
          </w:tcPr>
          <w:p>
            <w:r>
              <w:rPr>
                <w:sz w:val="21"/>
              </w:rPr>
              <w:t>M1507 — Gestion de la paie et du personnel (France Travail)</w:t>
            </w:r>
          </w:p>
        </w:tc>
      </w:tr>
    </w:tbl>
    <w:p>
      <w:pPr>
        <w:spacing w:before="320" w:after="120"/>
        <w:pBdr>
          <w:bottom w:val="single" w:sz="6" w:space="1" w:color="EADFCF"/>
        </w:pBdr>
      </w:pPr>
      <w:r>
        <w:rPr>
          <w:b/>
          <w:color w:val="A16007"/>
          <w:sz w:val="25"/>
        </w:rPr>
        <w:t>2. FINALITÉ DU POSTE</w:t>
      </w:r>
    </w:p>
    <w:p>
      <w:pPr>
        <w:spacing w:after="160"/>
      </w:pPr>
      <w:r>
        <w:rPr>
          <w:i w:val="0"/>
          <w:sz w:val="21"/>
        </w:rPr>
        <w:t>Le gestionnaire de paie garantit que chaque salarié est rémunéré conformément à son contrat et à la réglementation en vigueur, et que l'entreprise reste en conformité vis-à-vis de l'Urssaf, des caisses de retraite et de l'administration fiscale.</w:t>
      </w:r>
    </w:p>
    <w:p>
      <w:pPr>
        <w:spacing w:before="320" w:after="120"/>
        <w:pBdr>
          <w:bottom w:val="single" w:sz="6" w:space="1" w:color="EADFCF"/>
        </w:pBdr>
      </w:pPr>
      <w:r>
        <w:rPr>
          <w:b/>
          <w:color w:val="A16007"/>
          <w:sz w:val="25"/>
        </w:rPr>
        <w:t>3. MISSIONS ET ACTIVITÉS PRINCIPALES</w:t>
      </w:r>
    </w:p>
    <w:p>
      <w:pPr>
        <w:pStyle w:val="ListBullet"/>
        <w:spacing w:after="60"/>
      </w:pPr>
      <w:r>
        <w:rPr>
          <w:sz w:val="21"/>
        </w:rPr>
        <w:t>Collecter et vérifier les éléments variables de paie (heures, absences, primes, notes de frais)</w:t>
      </w:r>
    </w:p>
    <w:p>
      <w:pPr>
        <w:pStyle w:val="ListBullet"/>
        <w:spacing w:after="60"/>
      </w:pPr>
      <w:r>
        <w:rPr>
          <w:sz w:val="21"/>
        </w:rPr>
        <w:t>Établir les bulletins de salaire en appliquant la convention collective et la réglementation en vigueur</w:t>
      </w:r>
    </w:p>
    <w:p>
      <w:pPr>
        <w:pStyle w:val="ListBullet"/>
        <w:spacing w:after="60"/>
      </w:pPr>
      <w:r>
        <w:rPr>
          <w:sz w:val="21"/>
        </w:rPr>
        <w:t>Paramétrer et contrôler le logiciel de paie (Silae, Sage, Cegid, ADP, PayFit…)</w:t>
      </w:r>
    </w:p>
    <w:p>
      <w:pPr>
        <w:pStyle w:val="ListBullet"/>
        <w:spacing w:after="60"/>
      </w:pPr>
      <w:r>
        <w:rPr>
          <w:sz w:val="21"/>
        </w:rPr>
        <w:t>Réaliser les déclarations sociales nominatives (DSN) et les soldes de tout compte</w:t>
      </w:r>
    </w:p>
    <w:p>
      <w:pPr>
        <w:pStyle w:val="ListBullet"/>
        <w:spacing w:after="60"/>
      </w:pPr>
      <w:r>
        <w:rPr>
          <w:sz w:val="21"/>
        </w:rPr>
        <w:t>Répondre aux questions des salariés sur leur bulletin et leurs droits sociaux</w:t>
      </w:r>
    </w:p>
    <w:p>
      <w:pPr>
        <w:pStyle w:val="ListBullet"/>
        <w:spacing w:after="60"/>
      </w:pPr>
      <w:r>
        <w:rPr>
          <w:sz w:val="21"/>
        </w:rPr>
        <w:t>Assurer une veille sur les évolutions légales et conventionnelles impactant la paie</w:t>
      </w:r>
    </w:p>
    <w:p>
      <w:pPr>
        <w:spacing w:before="320" w:after="120"/>
        <w:pBdr>
          <w:bottom w:val="single" w:sz="6" w:space="1" w:color="EADFCF"/>
        </w:pBdr>
      </w:pPr>
      <w:r>
        <w:rPr>
          <w:b/>
          <w:color w:val="A16007"/>
          <w:sz w:val="25"/>
        </w:rPr>
        <w:t>4. COMPÉTENCES REQUISES</w:t>
      </w:r>
    </w:p>
    <w:p>
      <w:r>
        <w:rPr>
          <w:b/>
          <w:color w:val="7C2D12"/>
          <w:sz w:val="21"/>
        </w:rPr>
        <w:t>Compétences techniques</w:t>
      </w:r>
    </w:p>
    <w:p>
      <w:pPr>
        <w:pStyle w:val="ListBullet"/>
        <w:spacing w:after="60"/>
      </w:pPr>
      <w:r>
        <w:rPr>
          <w:sz w:val="21"/>
        </w:rPr>
        <w:t>Maîtrise d'un logiciel de paie (Silae, Sage, Cegid, ADP ou équivalent)</w:t>
      </w:r>
    </w:p>
    <w:p>
      <w:pPr>
        <w:pStyle w:val="ListBullet"/>
        <w:spacing w:after="60"/>
      </w:pPr>
      <w:r>
        <w:rPr>
          <w:sz w:val="21"/>
        </w:rPr>
        <w:t>Connaissance approfondie du droit du travail et du droit de la sécurité sociale</w:t>
      </w:r>
    </w:p>
    <w:p>
      <w:pPr>
        <w:pStyle w:val="ListBullet"/>
        <w:spacing w:after="60"/>
      </w:pPr>
      <w:r>
        <w:rPr>
          <w:sz w:val="21"/>
        </w:rPr>
        <w:t>Rigueur comptable et maîtrise d'Excel</w:t>
      </w:r>
    </w:p>
    <w:p>
      <w:r>
        <w:rPr>
          <w:b/>
          <w:color w:val="7C2D12"/>
          <w:sz w:val="21"/>
        </w:rPr>
        <w:t>Compétences comportementales</w:t>
      </w:r>
    </w:p>
    <w:p>
      <w:pPr>
        <w:pStyle w:val="ListBullet"/>
        <w:spacing w:after="60"/>
      </w:pPr>
      <w:r>
        <w:rPr>
          <w:sz w:val="21"/>
        </w:rPr>
        <w:t>Fiabilité absolue — une erreur de paie n'est jamais anodine</w:t>
      </w:r>
    </w:p>
    <w:p>
      <w:pPr>
        <w:pStyle w:val="ListBullet"/>
        <w:spacing w:after="60"/>
      </w:pPr>
      <w:r>
        <w:rPr>
          <w:sz w:val="21"/>
        </w:rPr>
        <w:t>Discrétion et confidentialité</w:t>
      </w:r>
    </w:p>
    <w:p>
      <w:pPr>
        <w:pStyle w:val="ListBullet"/>
        <w:spacing w:after="60"/>
      </w:pPr>
      <w:r>
        <w:rPr>
          <w:sz w:val="21"/>
        </w:rPr>
        <w:t>Capacité à gérer un cycle mensuel sous contrainte de délai</w:t>
      </w:r>
    </w:p>
    <w:p>
      <w:pPr>
        <w:spacing w:before="320" w:after="120"/>
        <w:pBdr>
          <w:bottom w:val="single" w:sz="6" w:space="1" w:color="EADFCF"/>
        </w:pBdr>
      </w:pPr>
      <w:r>
        <w:rPr>
          <w:b/>
          <w:color w:val="A16007"/>
          <w:sz w:val="25"/>
        </w:rPr>
        <w:t>5. FORMATION ET EXPÉRIENCE</w:t>
      </w:r>
    </w:p>
    <w:p>
      <w:pPr>
        <w:spacing w:after="160"/>
      </w:pPr>
      <w:r>
        <w:rPr>
          <w:i w:val="0"/>
          <w:sz w:val="21"/>
        </w:rPr>
        <w:t>Bac+2 minimum (titre professionnel gestionnaire de paie RNCP niveau 5, BTS Comptabilité, DUT GEA). Une double compétence comptabilité/RH est valorisée. Marché tendu : les profils qualifiés sont recherchés dès un an d'expérience.</w:t>
      </w:r>
    </w:p>
    <w:p>
      <w:pPr>
        <w:spacing w:before="320" w:after="120"/>
        <w:pBdr>
          <w:bottom w:val="single" w:sz="6" w:space="1" w:color="EADFCF"/>
        </w:pBdr>
      </w:pPr>
      <w:r>
        <w:rPr>
          <w:b/>
          <w:color w:val="A16007"/>
          <w:sz w:val="25"/>
        </w:rPr>
        <w:t>6. CONDITIONS D'EXERCICE</w:t>
      </w:r>
    </w:p>
    <w:p>
      <w:pPr>
        <w:pStyle w:val="ListBullet"/>
        <w:spacing w:after="60"/>
      </w:pPr>
      <w:r>
        <w:rPr>
          <w:sz w:val="21"/>
        </w:rPr>
        <w:t>Horaires : 35h/39h, avec pic d'activité en fin de mois</w:t>
      </w:r>
    </w:p>
    <w:p>
      <w:pPr>
        <w:pStyle w:val="ListBullet"/>
        <w:spacing w:after="60"/>
      </w:pPr>
      <w:r>
        <w:rPr>
          <w:sz w:val="21"/>
        </w:rPr>
        <w:t>Déplacements : rares</w:t>
      </w:r>
    </w:p>
    <w:p>
      <w:pPr>
        <w:pStyle w:val="ListBullet"/>
        <w:spacing w:after="60"/>
      </w:pPr>
      <w:r>
        <w:rPr>
          <w:sz w:val="21"/>
        </w:rPr>
        <w:t>Télétravail : possible en dehors des pics de clôture de paie</w:t>
      </w:r>
    </w:p>
    <w:p>
      <w:pPr>
        <w:pStyle w:val="ListBullet"/>
        <w:spacing w:after="60"/>
      </w:pPr>
      <w:r>
        <w:rPr>
          <w:sz w:val="21"/>
        </w:rPr>
        <w:t>Contraintes spécifiques : respect strict des délais légaux de versement du salaire</w:t>
      </w:r>
    </w:p>
    <w:p>
      <w:pPr>
        <w:spacing w:before="320" w:after="120"/>
        <w:pBdr>
          <w:bottom w:val="single" w:sz="6" w:space="1" w:color="EADFCF"/>
        </w:pBdr>
      </w:pPr>
      <w:r>
        <w:rPr>
          <w:b/>
          <w:color w:val="A16007"/>
          <w:sz w:val="25"/>
        </w:rPr>
        <w:t>7. ÉVOLUTION POSSIBLE</w:t>
      </w:r>
    </w:p>
    <w:p>
      <w:pPr>
        <w:spacing w:after="160"/>
      </w:pPr>
      <w:r>
        <w:rPr>
          <w:i w:val="0"/>
          <w:sz w:val="21"/>
        </w:rPr>
        <w:t>Vers un poste de responsable paie après plusieurs années d'expérience, ou vers une spécialisation en paie internationale/multi-conventions. Passerelle possible vers un poste de contrôleur de gestion sociale.</w:t>
      </w:r>
    </w:p>
    <w:p>
      <w:pPr>
        <w:spacing w:before="320" w:after="120"/>
        <w:pBdr>
          <w:bottom w:val="single" w:sz="6" w:space="1" w:color="EADFCF"/>
        </w:pBdr>
      </w:pPr>
      <w:r>
        <w:rPr>
          <w:b/>
          <w:color w:val="A16007"/>
          <w:sz w:val="25"/>
        </w:rPr>
        <w:t>8. VALIDATION</w:t>
      </w: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  <w:shd w:val="clear" w:fill="FAF5EF"/>
          </w:tcPr>
          <w:p>
            <w:r>
              <w:rPr>
                <w:b/>
                <w:color w:val="7C2D12"/>
                <w:sz w:val="21"/>
              </w:rPr>
              <w:t>Rédigé par</w:t>
            </w:r>
          </w:p>
        </w:tc>
        <w:tc>
          <w:tcPr>
            <w:tcW w:type="dxa" w:w="6236"/>
          </w:tcPr>
          <w:p>
            <w:r>
              <w:rPr>
                <w:sz w:val="21"/>
              </w:rPr>
              <w:t>[Nom, fonction]</w:t>
            </w:r>
          </w:p>
        </w:tc>
      </w:tr>
      <w:tr>
        <w:tc>
          <w:tcPr>
            <w:tcW w:type="dxa" w:w="2835"/>
            <w:shd w:val="clear" w:fill="FAF5EF"/>
          </w:tcPr>
          <w:p>
            <w:r>
              <w:rPr>
                <w:b/>
                <w:color w:val="7C2D12"/>
                <w:sz w:val="21"/>
              </w:rPr>
              <w:t>Date de rédaction</w:t>
            </w:r>
          </w:p>
        </w:tc>
        <w:tc>
          <w:tcPr>
            <w:tcW w:type="dxa" w:w="6236"/>
          </w:tcPr>
          <w:p>
            <w:r>
              <w:rPr>
                <w:sz w:val="21"/>
              </w:rPr>
              <w:t>[JJ/MM/AAAA]</w:t>
            </w:r>
          </w:p>
        </w:tc>
      </w:tr>
      <w:tr>
        <w:tc>
          <w:tcPr>
            <w:tcW w:type="dxa" w:w="2835"/>
            <w:shd w:val="clear" w:fill="FAF5EF"/>
          </w:tcPr>
          <w:p>
            <w:r>
              <w:rPr>
                <w:b/>
                <w:color w:val="7C2D12"/>
                <w:sz w:val="21"/>
              </w:rPr>
              <w:t>Date de révision prévue</w:t>
            </w:r>
          </w:p>
        </w:tc>
        <w:tc>
          <w:tcPr>
            <w:tcW w:type="dxa" w:w="6236"/>
          </w:tcPr>
          <w:p>
            <w:r>
              <w:rPr>
                <w:sz w:val="21"/>
              </w:rPr>
              <w:t>[JJ/MM/AAAA — une fiche de poste non révisée depuis plus de 2-3 ans perd sa valeur de preuve]</w:t>
            </w:r>
          </w:p>
        </w:tc>
      </w:tr>
      <w:tr>
        <w:tc>
          <w:tcPr>
            <w:tcW w:type="dxa" w:w="2835"/>
            <w:shd w:val="clear" w:fill="FAF5EF"/>
          </w:tcPr>
          <w:p>
            <w:r>
              <w:rPr>
                <w:b/>
                <w:color w:val="7C2D12"/>
                <w:sz w:val="21"/>
              </w:rPr>
              <w:t>Validé par</w:t>
            </w:r>
          </w:p>
        </w:tc>
        <w:tc>
          <w:tcPr>
            <w:tcW w:type="dxa" w:w="6236"/>
          </w:tcPr>
          <w:p>
            <w:r>
              <w:rPr>
                <w:sz w:val="21"/>
              </w:rPr>
              <w:t>[Nom, fonction]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3B30"/>
        <w:sz w:val="16"/>
      </w:rPr>
      <w:t>Modèle fourni par Cercle RH — cercle-rh.fr — à adapter à votre organisation et à votre convention collective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