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b/>
          <w:color w:val="7C2D12"/>
          <w:sz w:val="40"/>
        </w:rPr>
        <w:t>Fiche de poste — Chargé de recrutement</w:t>
      </w:r>
    </w:p>
    <w:p>
      <w:pPr>
        <w:spacing w:after="320"/>
      </w:pPr>
      <w:r>
        <w:rPr>
          <w:i/>
          <w:color w:val="4A3B30"/>
          <w:sz w:val="21"/>
        </w:rPr>
        <w:t>Exemple rempli — Cercle RH — cohérent avec la fiche métier chargé de recrutement (cercle-rh.fr)</w:t>
      </w:r>
    </w:p>
    <w:p>
      <w:pPr>
        <w:spacing w:before="320" w:after="120"/>
        <w:pBdr>
          <w:bottom w:val="single" w:sz="6" w:space="1" w:color="EADFCF"/>
        </w:pBdr>
      </w:pPr>
      <w:r>
        <w:rPr>
          <w:b/>
          <w:color w:val="A16007"/>
          <w:sz w:val="25"/>
        </w:rPr>
        <w:t>1. IDENTIFICATION DU POSTE</w:t>
      </w:r>
    </w:p>
    <w:tbl>
      <w:tblPr>
        <w:tblW w:type="auto" w:w="0"/>
        <w:jc w:val="left"/>
        <w:tblLayout w:type="autofit"/>
        <w:tblLook w:firstColumn="1" w:firstRow="1" w:lastColumn="0" w:lastRow="0" w:noHBand="0" w:noVBand="1" w:val="04A0"/>
      </w:tblPr>
      <w:tblGrid>
        <w:gridCol w:w="4320"/>
        <w:gridCol w:w="4320"/>
      </w:tblGrid>
      <w:tr>
        <w:tc>
          <w:tcPr>
            <w:tcW w:type="dxa" w:w="2835"/>
            <w:shd w:val="clear" w:fill="FAF5EF"/>
          </w:tcPr>
          <w:p>
            <w:r>
              <w:rPr>
                <w:b/>
                <w:color w:val="7C2D12"/>
                <w:sz w:val="21"/>
              </w:rPr>
              <w:t>Intitulé du poste</w:t>
            </w:r>
          </w:p>
        </w:tc>
        <w:tc>
          <w:tcPr>
            <w:tcW w:type="dxa" w:w="6236"/>
          </w:tcPr>
          <w:p>
            <w:r>
              <w:rPr>
                <w:sz w:val="21"/>
              </w:rPr>
              <w:t>Chargé de recrutement</w:t>
            </w:r>
          </w:p>
        </w:tc>
      </w:tr>
      <w:tr>
        <w:tc>
          <w:tcPr>
            <w:tcW w:type="dxa" w:w="2835"/>
            <w:shd w:val="clear" w:fill="FAF5EF"/>
          </w:tcPr>
          <w:p>
            <w:r>
              <w:rPr>
                <w:b/>
                <w:color w:val="7C2D12"/>
                <w:sz w:val="21"/>
              </w:rPr>
              <w:t>Service / Direction</w:t>
            </w:r>
          </w:p>
        </w:tc>
        <w:tc>
          <w:tcPr>
            <w:tcW w:type="dxa" w:w="6236"/>
          </w:tcPr>
          <w:p>
            <w:r>
              <w:rPr>
                <w:sz w:val="21"/>
              </w:rPr>
              <w:t>Direction des ressources humaines — pôle recrutement</w:t>
            </w:r>
          </w:p>
        </w:tc>
      </w:tr>
      <w:tr>
        <w:tc>
          <w:tcPr>
            <w:tcW w:type="dxa" w:w="2835"/>
            <w:shd w:val="clear" w:fill="FAF5EF"/>
          </w:tcPr>
          <w:p>
            <w:r>
              <w:rPr>
                <w:b/>
                <w:color w:val="7C2D12"/>
                <w:sz w:val="21"/>
              </w:rPr>
              <w:t>Rattachement hiérarchique</w:t>
            </w:r>
          </w:p>
        </w:tc>
        <w:tc>
          <w:tcPr>
            <w:tcW w:type="dxa" w:w="6236"/>
          </w:tcPr>
          <w:p>
            <w:r>
              <w:rPr>
                <w:sz w:val="21"/>
              </w:rPr>
              <w:t>Responsable recrutement, RRH ou DRH selon la taille de la structure</w:t>
            </w:r>
          </w:p>
        </w:tc>
      </w:tr>
      <w:tr>
        <w:tc>
          <w:tcPr>
            <w:tcW w:type="dxa" w:w="2835"/>
            <w:shd w:val="clear" w:fill="FAF5EF"/>
          </w:tcPr>
          <w:p>
            <w:r>
              <w:rPr>
                <w:b/>
                <w:color w:val="7C2D12"/>
                <w:sz w:val="21"/>
              </w:rPr>
              <w:t>Lieu d'exercice</w:t>
            </w:r>
          </w:p>
        </w:tc>
        <w:tc>
          <w:tcPr>
            <w:tcW w:type="dxa" w:w="6236"/>
          </w:tcPr>
          <w:p>
            <w:r>
              <w:rPr>
                <w:sz w:val="21"/>
              </w:rPr>
              <w:t>Siège — déplacements ponctuels sur les sites de l'entreprise</w:t>
            </w:r>
          </w:p>
        </w:tc>
      </w:tr>
      <w:tr>
        <w:tc>
          <w:tcPr>
            <w:tcW w:type="dxa" w:w="2835"/>
            <w:shd w:val="clear" w:fill="FAF5EF"/>
          </w:tcPr>
          <w:p>
            <w:r>
              <w:rPr>
                <w:b/>
                <w:color w:val="7C2D12"/>
                <w:sz w:val="21"/>
              </w:rPr>
              <w:t>Statut</w:t>
            </w:r>
          </w:p>
        </w:tc>
        <w:tc>
          <w:tcPr>
            <w:tcW w:type="dxa" w:w="6236"/>
          </w:tcPr>
          <w:p>
            <w:r>
              <w:rPr>
                <w:sz w:val="21"/>
              </w:rPr>
              <w:t>Non-cadre ou cadre selon expérience et périmètre</w:t>
            </w:r>
          </w:p>
        </w:tc>
      </w:tr>
      <w:tr>
        <w:tc>
          <w:tcPr>
            <w:tcW w:type="dxa" w:w="2835"/>
            <w:shd w:val="clear" w:fill="FAF5EF"/>
          </w:tcPr>
          <w:p>
            <w:r>
              <w:rPr>
                <w:b/>
                <w:color w:val="7C2D12"/>
                <w:sz w:val="21"/>
              </w:rPr>
              <w:t>Classification conventionnelle</w:t>
            </w:r>
          </w:p>
        </w:tc>
        <w:tc>
          <w:tcPr>
            <w:tcW w:type="dxa" w:w="6236"/>
          </w:tcPr>
          <w:p>
            <w:r>
              <w:rPr>
                <w:sz w:val="21"/>
              </w:rPr>
              <w:t>À positionner selon la convention collective applicable</w:t>
            </w:r>
          </w:p>
        </w:tc>
      </w:tr>
      <w:tr>
        <w:tc>
          <w:tcPr>
            <w:tcW w:type="dxa" w:w="2835"/>
            <w:shd w:val="clear" w:fill="FAF5EF"/>
          </w:tcPr>
          <w:p>
            <w:r>
              <w:rPr>
                <w:b/>
                <w:color w:val="7C2D12"/>
                <w:sz w:val="21"/>
              </w:rPr>
              <w:t>Code ROME de référence</w:t>
            </w:r>
          </w:p>
        </w:tc>
        <w:tc>
          <w:tcPr>
            <w:tcW w:type="dxa" w:w="6236"/>
          </w:tcPr>
          <w:p>
            <w:r>
              <w:rPr>
                <w:sz w:val="21"/>
              </w:rPr>
              <w:t>M1502 — Développement des ressources humaines (France Travail)</w:t>
            </w:r>
          </w:p>
        </w:tc>
      </w:tr>
    </w:tbl>
    <w:p>
      <w:pPr>
        <w:spacing w:before="320" w:after="120"/>
        <w:pBdr>
          <w:bottom w:val="single" w:sz="6" w:space="1" w:color="EADFCF"/>
        </w:pBdr>
      </w:pPr>
      <w:r>
        <w:rPr>
          <w:b/>
          <w:color w:val="A16007"/>
          <w:sz w:val="25"/>
        </w:rPr>
        <w:t>2. FINALITÉ DU POSTE</w:t>
      </w:r>
    </w:p>
    <w:p>
      <w:pPr>
        <w:spacing w:after="160"/>
      </w:pPr>
      <w:r>
        <w:rPr>
          <w:i w:val="0"/>
          <w:sz w:val="21"/>
        </w:rPr>
        <w:t>Le chargé de recrutement pourvoit les postes ouverts dans les délais et avec les profils adaptés aux besoins des équipes, en garantissant une expérience candidat de qualité et le respect du principe de non-discrimination.</w:t>
      </w:r>
    </w:p>
    <w:p>
      <w:pPr>
        <w:spacing w:before="320" w:after="120"/>
        <w:pBdr>
          <w:bottom w:val="single" w:sz="6" w:space="1" w:color="EADFCF"/>
        </w:pBdr>
      </w:pPr>
      <w:r>
        <w:rPr>
          <w:b/>
          <w:color w:val="A16007"/>
          <w:sz w:val="25"/>
        </w:rPr>
        <w:t>3. MISSIONS ET ACTIVITÉS PRINCIPALES</w:t>
      </w:r>
    </w:p>
    <w:p>
      <w:pPr>
        <w:pStyle w:val="ListBullet"/>
        <w:spacing w:after="60"/>
      </w:pPr>
      <w:r>
        <w:rPr>
          <w:sz w:val="21"/>
        </w:rPr>
        <w:t>Recueillir le besoin auprès des managers et rédiger les offres d'emploi</w:t>
      </w:r>
    </w:p>
    <w:p>
      <w:pPr>
        <w:pStyle w:val="ListBullet"/>
        <w:spacing w:after="60"/>
      </w:pPr>
      <w:r>
        <w:rPr>
          <w:sz w:val="21"/>
        </w:rPr>
        <w:t>Diffuser les offres et sourcer des candidats (jobboards, réseaux sociaux, cooptation, chasse directe)</w:t>
      </w:r>
    </w:p>
    <w:p>
      <w:pPr>
        <w:pStyle w:val="ListBullet"/>
        <w:spacing w:after="60"/>
      </w:pPr>
      <w:r>
        <w:rPr>
          <w:sz w:val="21"/>
        </w:rPr>
        <w:t>Présélectionner les candidatures et conduire les entretiens de recrutement</w:t>
      </w:r>
    </w:p>
    <w:p>
      <w:pPr>
        <w:pStyle w:val="ListBullet"/>
        <w:spacing w:after="60"/>
      </w:pPr>
      <w:r>
        <w:rPr>
          <w:sz w:val="21"/>
        </w:rPr>
        <w:t>Coordonner le processus de décision avec les managers opérationnels</w:t>
      </w:r>
    </w:p>
    <w:p>
      <w:pPr>
        <w:pStyle w:val="ListBullet"/>
        <w:spacing w:after="60"/>
      </w:pPr>
      <w:r>
        <w:rPr>
          <w:sz w:val="21"/>
        </w:rPr>
        <w:t>Rédiger les promesses d'embauche et assurer le suivi de l'intégration (onboarding)</w:t>
      </w:r>
    </w:p>
    <w:p>
      <w:pPr>
        <w:pStyle w:val="ListBullet"/>
        <w:spacing w:after="60"/>
      </w:pPr>
      <w:r>
        <w:rPr>
          <w:sz w:val="21"/>
        </w:rPr>
        <w:t>Suivre les indicateurs de recrutement (délai de recrutement, coût par recrutement, taux de transformation)</w:t>
      </w:r>
    </w:p>
    <w:p>
      <w:pPr>
        <w:spacing w:before="320" w:after="120"/>
        <w:pBdr>
          <w:bottom w:val="single" w:sz="6" w:space="1" w:color="EADFCF"/>
        </w:pBdr>
      </w:pPr>
      <w:r>
        <w:rPr>
          <w:b/>
          <w:color w:val="A16007"/>
          <w:sz w:val="25"/>
        </w:rPr>
        <w:t>4. COMPÉTENCES REQUISES</w:t>
      </w:r>
    </w:p>
    <w:p>
      <w:r>
        <w:rPr>
          <w:b/>
          <w:color w:val="7C2D12"/>
          <w:sz w:val="21"/>
        </w:rPr>
        <w:t>Compétences techniques</w:t>
      </w:r>
    </w:p>
    <w:p>
      <w:pPr>
        <w:pStyle w:val="ListBullet"/>
        <w:spacing w:after="60"/>
      </w:pPr>
      <w:r>
        <w:rPr>
          <w:sz w:val="21"/>
        </w:rPr>
        <w:t>Maîtrise des techniques de sourcing et d'entretien structuré</w:t>
      </w:r>
    </w:p>
    <w:p>
      <w:pPr>
        <w:pStyle w:val="ListBullet"/>
        <w:spacing w:after="60"/>
      </w:pPr>
      <w:r>
        <w:rPr>
          <w:sz w:val="21"/>
        </w:rPr>
        <w:t>Connaissance du droit du travail applicable au recrutement (art. L.1132-1, non-discrimination)</w:t>
      </w:r>
    </w:p>
    <w:p>
      <w:pPr>
        <w:pStyle w:val="ListBullet"/>
        <w:spacing w:after="60"/>
      </w:pPr>
      <w:r>
        <w:rPr>
          <w:sz w:val="21"/>
        </w:rPr>
        <w:t>Pratique d'un ATS (logiciel de suivi des candidatures)</w:t>
      </w:r>
    </w:p>
    <w:p>
      <w:r>
        <w:rPr>
          <w:b/>
          <w:color w:val="7C2D12"/>
          <w:sz w:val="21"/>
        </w:rPr>
        <w:t>Compétences comportementales</w:t>
      </w:r>
    </w:p>
    <w:p>
      <w:pPr>
        <w:pStyle w:val="ListBullet"/>
        <w:spacing w:after="60"/>
      </w:pPr>
      <w:r>
        <w:rPr>
          <w:sz w:val="21"/>
        </w:rPr>
        <w:t>Sens de l'écoute et capacité à évaluer les soft skills</w:t>
      </w:r>
    </w:p>
    <w:p>
      <w:pPr>
        <w:pStyle w:val="ListBullet"/>
        <w:spacing w:after="60"/>
      </w:pPr>
      <w:r>
        <w:rPr>
          <w:sz w:val="21"/>
        </w:rPr>
        <w:t>Réactivité et gestion de plusieurs recrutements en parallèle</w:t>
      </w:r>
    </w:p>
    <w:p>
      <w:pPr>
        <w:pStyle w:val="ListBullet"/>
        <w:spacing w:after="60"/>
      </w:pPr>
      <w:r>
        <w:rPr>
          <w:sz w:val="21"/>
        </w:rPr>
        <w:t>Esprit de conseil vis-à-vis des managers opérationnels</w:t>
      </w:r>
    </w:p>
    <w:p>
      <w:pPr>
        <w:spacing w:before="320" w:after="120"/>
        <w:pBdr>
          <w:bottom w:val="single" w:sz="6" w:space="1" w:color="EADFCF"/>
        </w:pBdr>
      </w:pPr>
      <w:r>
        <w:rPr>
          <w:b/>
          <w:color w:val="A16007"/>
          <w:sz w:val="25"/>
        </w:rPr>
        <w:t>5. FORMATION ET EXPÉRIENCE</w:t>
      </w:r>
    </w:p>
    <w:p>
      <w:pPr>
        <w:spacing w:after="160"/>
      </w:pPr>
      <w:r>
        <w:rPr>
          <w:i w:val="0"/>
          <w:sz w:val="21"/>
        </w:rPr>
        <w:t>Bac+3 à Bac+5 (Licence ou Master RH, école de commerce avec spécialisation RH). Une première expérience en cabinet de recrutement ou en agence d'intérim est un atout apprécié à l'embauche.</w:t>
      </w:r>
    </w:p>
    <w:p>
      <w:pPr>
        <w:spacing w:before="320" w:after="120"/>
        <w:pBdr>
          <w:bottom w:val="single" w:sz="6" w:space="1" w:color="EADFCF"/>
        </w:pBdr>
      </w:pPr>
      <w:r>
        <w:rPr>
          <w:b/>
          <w:color w:val="A16007"/>
          <w:sz w:val="25"/>
        </w:rPr>
        <w:t>6. CONDITIONS D'EXERCICE</w:t>
      </w:r>
    </w:p>
    <w:p>
      <w:pPr>
        <w:pStyle w:val="ListBullet"/>
        <w:spacing w:after="60"/>
      </w:pPr>
      <w:r>
        <w:rPr>
          <w:sz w:val="21"/>
        </w:rPr>
        <w:t>Horaires : 35h/39h, avec pics d'activité selon les campagnes de recrutement</w:t>
      </w:r>
    </w:p>
    <w:p>
      <w:pPr>
        <w:pStyle w:val="ListBullet"/>
        <w:spacing w:after="60"/>
      </w:pPr>
      <w:r>
        <w:rPr>
          <w:sz w:val="21"/>
        </w:rPr>
        <w:t>Déplacements : ponctuels (salons, forums, sites)</w:t>
      </w:r>
    </w:p>
    <w:p>
      <w:pPr>
        <w:pStyle w:val="ListBullet"/>
        <w:spacing w:after="60"/>
      </w:pPr>
      <w:r>
        <w:rPr>
          <w:sz w:val="21"/>
        </w:rPr>
        <w:t>Télétravail : possible selon accord d'entreprise</w:t>
      </w:r>
    </w:p>
    <w:p>
      <w:pPr>
        <w:pStyle w:val="ListBullet"/>
        <w:spacing w:after="60"/>
      </w:pPr>
      <w:r>
        <w:rPr>
          <w:sz w:val="21"/>
        </w:rPr>
        <w:t>Contraintes spécifiques : respect strict du cadre légal de non-discrimination à toutes les étapes</w:t>
      </w:r>
    </w:p>
    <w:p>
      <w:pPr>
        <w:spacing w:before="320" w:after="120"/>
        <w:pBdr>
          <w:bottom w:val="single" w:sz="6" w:space="1" w:color="EADFCF"/>
        </w:pBdr>
      </w:pPr>
      <w:r>
        <w:rPr>
          <w:b/>
          <w:color w:val="A16007"/>
          <w:sz w:val="25"/>
        </w:rPr>
        <w:t>7. ÉVOLUTION POSSIBLE</w:t>
      </w:r>
    </w:p>
    <w:p>
      <w:pPr>
        <w:spacing w:after="160"/>
      </w:pPr>
      <w:r>
        <w:rPr>
          <w:i w:val="0"/>
          <w:sz w:val="21"/>
        </w:rPr>
        <w:t>Vers un poste de responsable recrutement ou talent acquisition manager après 3 à 5 ans, ou vers une spécialisation marque employeur. Passerelle possible vers un poste de RRH généraliste.</w:t>
      </w:r>
    </w:p>
    <w:p>
      <w:pPr>
        <w:spacing w:before="320" w:after="120"/>
        <w:pBdr>
          <w:bottom w:val="single" w:sz="6" w:space="1" w:color="EADFCF"/>
        </w:pBdr>
      </w:pPr>
      <w:r>
        <w:rPr>
          <w:b/>
          <w:color w:val="A16007"/>
          <w:sz w:val="25"/>
        </w:rPr>
        <w:t>8. VALIDATION</w:t>
      </w:r>
    </w:p>
    <w:tbl>
      <w:tblPr>
        <w:tblW w:type="auto" w:w="0"/>
        <w:jc w:val="left"/>
        <w:tblLayout w:type="autofit"/>
        <w:tblLook w:firstColumn="1" w:firstRow="1" w:lastColumn="0" w:lastRow="0" w:noHBand="0" w:noVBand="1" w:val="04A0"/>
      </w:tblPr>
      <w:tblGrid>
        <w:gridCol w:w="4320"/>
        <w:gridCol w:w="4320"/>
      </w:tblGrid>
      <w:tr>
        <w:tc>
          <w:tcPr>
            <w:tcW w:type="dxa" w:w="2835"/>
            <w:shd w:val="clear" w:fill="FAF5EF"/>
          </w:tcPr>
          <w:p>
            <w:r>
              <w:rPr>
                <w:b/>
                <w:color w:val="7C2D12"/>
                <w:sz w:val="21"/>
              </w:rPr>
              <w:t>Rédigé par</w:t>
            </w:r>
          </w:p>
        </w:tc>
        <w:tc>
          <w:tcPr>
            <w:tcW w:type="dxa" w:w="6236"/>
          </w:tcPr>
          <w:p>
            <w:r>
              <w:rPr>
                <w:sz w:val="21"/>
              </w:rPr>
              <w:t>[Nom, fonction]</w:t>
            </w:r>
          </w:p>
        </w:tc>
      </w:tr>
      <w:tr>
        <w:tc>
          <w:tcPr>
            <w:tcW w:type="dxa" w:w="2835"/>
            <w:shd w:val="clear" w:fill="FAF5EF"/>
          </w:tcPr>
          <w:p>
            <w:r>
              <w:rPr>
                <w:b/>
                <w:color w:val="7C2D12"/>
                <w:sz w:val="21"/>
              </w:rPr>
              <w:t>Date de rédaction</w:t>
            </w:r>
          </w:p>
        </w:tc>
        <w:tc>
          <w:tcPr>
            <w:tcW w:type="dxa" w:w="6236"/>
          </w:tcPr>
          <w:p>
            <w:r>
              <w:rPr>
                <w:sz w:val="21"/>
              </w:rPr>
              <w:t>[JJ/MM/AAAA]</w:t>
            </w:r>
          </w:p>
        </w:tc>
      </w:tr>
      <w:tr>
        <w:tc>
          <w:tcPr>
            <w:tcW w:type="dxa" w:w="2835"/>
            <w:shd w:val="clear" w:fill="FAF5EF"/>
          </w:tcPr>
          <w:p>
            <w:r>
              <w:rPr>
                <w:b/>
                <w:color w:val="7C2D12"/>
                <w:sz w:val="21"/>
              </w:rPr>
              <w:t>Date de révision prévue</w:t>
            </w:r>
          </w:p>
        </w:tc>
        <w:tc>
          <w:tcPr>
            <w:tcW w:type="dxa" w:w="6236"/>
          </w:tcPr>
          <w:p>
            <w:r>
              <w:rPr>
                <w:sz w:val="21"/>
              </w:rPr>
              <w:t>[JJ/MM/AAAA — une fiche de poste non révisée depuis plus de 2-3 ans perd sa valeur de preuve]</w:t>
            </w:r>
          </w:p>
        </w:tc>
      </w:tr>
      <w:tr>
        <w:tc>
          <w:tcPr>
            <w:tcW w:type="dxa" w:w="2835"/>
            <w:shd w:val="clear" w:fill="FAF5EF"/>
          </w:tcPr>
          <w:p>
            <w:r>
              <w:rPr>
                <w:b/>
                <w:color w:val="7C2D12"/>
                <w:sz w:val="21"/>
              </w:rPr>
              <w:t>Validé par</w:t>
            </w:r>
          </w:p>
        </w:tc>
        <w:tc>
          <w:tcPr>
            <w:tcW w:type="dxa" w:w="6236"/>
          </w:tcPr>
          <w:p>
            <w:r>
              <w:rPr>
                <w:sz w:val="21"/>
              </w:rPr>
              <w:t>[Nom, fonction]</w:t>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3B30"/>
        <w:sz w:val="16"/>
      </w:rPr>
      <w:t>Modèle fourni par Cercle RH — cercle-rh.fr — à adapter à votre organisation et à votre convention collective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