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rPr>
          <w:b/>
          <w:color w:val="7C2D12"/>
          <w:sz w:val="40"/>
        </w:rPr>
        <w:t>Fiche de poste — Assistant RH</w:t>
      </w:r>
    </w:p>
    <w:p>
      <w:pPr>
        <w:spacing w:after="320"/>
      </w:pPr>
      <w:r>
        <w:rPr>
          <w:i/>
          <w:color w:val="4A3B30"/>
          <w:sz w:val="21"/>
        </w:rPr>
        <w:t>Exemple rempli — Cercle RH — cohérent avec la fiche métier assistant RH (cercle-rh.fr)</w:t>
      </w:r>
    </w:p>
    <w:p>
      <w:pPr>
        <w:spacing w:before="320" w:after="120"/>
        <w:pBdr>
          <w:bottom w:val="single" w:sz="6" w:space="1" w:color="EADFCF"/>
        </w:pBdr>
      </w:pPr>
      <w:r>
        <w:rPr>
          <w:b/>
          <w:color w:val="A16007"/>
          <w:sz w:val="25"/>
        </w:rPr>
        <w:t>1. IDENTIFICATION DU POSTE</w:t>
      </w:r>
    </w:p>
    <w:tbl>
      <w:tblPr>
        <w:tblW w:type="auto" w:w="0"/>
        <w:jc w:val="left"/>
        <w:tblLayout w:type="autofit"/>
        <w:tblLook w:firstColumn="1" w:firstRow="1" w:lastColumn="0" w:lastRow="0" w:noHBand="0" w:noVBand="1" w:val="04A0"/>
      </w:tblPr>
      <w:tblGrid>
        <w:gridCol w:w="4320"/>
        <w:gridCol w:w="4320"/>
      </w:tblGrid>
      <w:tr>
        <w:tc>
          <w:tcPr>
            <w:tcW w:type="dxa" w:w="2835"/>
            <w:shd w:val="clear" w:fill="FAF5EF"/>
          </w:tcPr>
          <w:p>
            <w:r>
              <w:rPr>
                <w:b/>
                <w:color w:val="7C2D12"/>
                <w:sz w:val="21"/>
              </w:rPr>
              <w:t>Intitulé du poste</w:t>
            </w:r>
          </w:p>
        </w:tc>
        <w:tc>
          <w:tcPr>
            <w:tcW w:type="dxa" w:w="6236"/>
          </w:tcPr>
          <w:p>
            <w:r>
              <w:rPr>
                <w:sz w:val="21"/>
              </w:rPr>
              <w:t>Assistant RH</w:t>
            </w:r>
          </w:p>
        </w:tc>
      </w:tr>
      <w:tr>
        <w:tc>
          <w:tcPr>
            <w:tcW w:type="dxa" w:w="2835"/>
            <w:shd w:val="clear" w:fill="FAF5EF"/>
          </w:tcPr>
          <w:p>
            <w:r>
              <w:rPr>
                <w:b/>
                <w:color w:val="7C2D12"/>
                <w:sz w:val="21"/>
              </w:rPr>
              <w:t>Service / Direction</w:t>
            </w:r>
          </w:p>
        </w:tc>
        <w:tc>
          <w:tcPr>
            <w:tcW w:type="dxa" w:w="6236"/>
          </w:tcPr>
          <w:p>
            <w:r>
              <w:rPr>
                <w:sz w:val="21"/>
              </w:rPr>
              <w:t>Direction des ressources humaines</w:t>
            </w:r>
          </w:p>
        </w:tc>
      </w:tr>
      <w:tr>
        <w:tc>
          <w:tcPr>
            <w:tcW w:type="dxa" w:w="2835"/>
            <w:shd w:val="clear" w:fill="FAF5EF"/>
          </w:tcPr>
          <w:p>
            <w:r>
              <w:rPr>
                <w:b/>
                <w:color w:val="7C2D12"/>
                <w:sz w:val="21"/>
              </w:rPr>
              <w:t>Rattachement hiérarchique</w:t>
            </w:r>
          </w:p>
        </w:tc>
        <w:tc>
          <w:tcPr>
            <w:tcW w:type="dxa" w:w="6236"/>
          </w:tcPr>
          <w:p>
            <w:r>
              <w:rPr>
                <w:sz w:val="21"/>
              </w:rPr>
              <w:t>Responsable RH ou DRH selon la taille de la structure</w:t>
            </w:r>
          </w:p>
        </w:tc>
      </w:tr>
      <w:tr>
        <w:tc>
          <w:tcPr>
            <w:tcW w:type="dxa" w:w="2835"/>
            <w:shd w:val="clear" w:fill="FAF5EF"/>
          </w:tcPr>
          <w:p>
            <w:r>
              <w:rPr>
                <w:b/>
                <w:color w:val="7C2D12"/>
                <w:sz w:val="21"/>
              </w:rPr>
              <w:t>Lieu d'exercice</w:t>
            </w:r>
          </w:p>
        </w:tc>
        <w:tc>
          <w:tcPr>
            <w:tcW w:type="dxa" w:w="6236"/>
          </w:tcPr>
          <w:p>
            <w:r>
              <w:rPr>
                <w:sz w:val="21"/>
              </w:rPr>
              <w:t>Siège — télétravail partiel possible selon accord d'entreprise</w:t>
            </w:r>
          </w:p>
        </w:tc>
      </w:tr>
      <w:tr>
        <w:tc>
          <w:tcPr>
            <w:tcW w:type="dxa" w:w="2835"/>
            <w:shd w:val="clear" w:fill="FAF5EF"/>
          </w:tcPr>
          <w:p>
            <w:r>
              <w:rPr>
                <w:b/>
                <w:color w:val="7C2D12"/>
                <w:sz w:val="21"/>
              </w:rPr>
              <w:t>Statut</w:t>
            </w:r>
          </w:p>
        </w:tc>
        <w:tc>
          <w:tcPr>
            <w:tcW w:type="dxa" w:w="6236"/>
          </w:tcPr>
          <w:p>
            <w:r>
              <w:rPr>
                <w:sz w:val="21"/>
              </w:rPr>
              <w:t>Non-cadre — technicien ou agent de maîtrise selon la classification</w:t>
            </w:r>
          </w:p>
        </w:tc>
      </w:tr>
      <w:tr>
        <w:tc>
          <w:tcPr>
            <w:tcW w:type="dxa" w:w="2835"/>
            <w:shd w:val="clear" w:fill="FAF5EF"/>
          </w:tcPr>
          <w:p>
            <w:r>
              <w:rPr>
                <w:b/>
                <w:color w:val="7C2D12"/>
                <w:sz w:val="21"/>
              </w:rPr>
              <w:t>Classification conventionnelle</w:t>
            </w:r>
          </w:p>
        </w:tc>
        <w:tc>
          <w:tcPr>
            <w:tcW w:type="dxa" w:w="6236"/>
          </w:tcPr>
          <w:p>
            <w:r>
              <w:rPr>
                <w:sz w:val="21"/>
              </w:rPr>
              <w:t>À positionner selon la convention collective applicable (ex. Syntec, métallurgie, commerce…)</w:t>
            </w:r>
          </w:p>
        </w:tc>
      </w:tr>
      <w:tr>
        <w:tc>
          <w:tcPr>
            <w:tcW w:type="dxa" w:w="2835"/>
            <w:shd w:val="clear" w:fill="FAF5EF"/>
          </w:tcPr>
          <w:p>
            <w:r>
              <w:rPr>
                <w:b/>
                <w:color w:val="7C2D12"/>
                <w:sz w:val="21"/>
              </w:rPr>
              <w:t>Code ROME de référence</w:t>
            </w:r>
          </w:p>
        </w:tc>
        <w:tc>
          <w:tcPr>
            <w:tcW w:type="dxa" w:w="6236"/>
          </w:tcPr>
          <w:p>
            <w:r>
              <w:rPr>
                <w:sz w:val="21"/>
              </w:rPr>
              <w:t>M1501 — Assistanat en ressources humaines (France Travail)</w:t>
            </w:r>
          </w:p>
        </w:tc>
      </w:tr>
    </w:tbl>
    <w:p>
      <w:pPr>
        <w:spacing w:before="320" w:after="120"/>
        <w:pBdr>
          <w:bottom w:val="single" w:sz="6" w:space="1" w:color="EADFCF"/>
        </w:pBdr>
      </w:pPr>
      <w:r>
        <w:rPr>
          <w:b/>
          <w:color w:val="A16007"/>
          <w:sz w:val="25"/>
        </w:rPr>
        <w:t>2. FINALITÉ DU POSTE</w:t>
      </w:r>
    </w:p>
    <w:p>
      <w:pPr>
        <w:spacing w:after="160"/>
      </w:pPr>
      <w:r>
        <w:rPr>
          <w:i w:val="0"/>
          <w:sz w:val="21"/>
        </w:rPr>
        <w:t>L'assistant RH garantit la fiabilité de l'administration du personnel et la conformité des processus RH au quotidien, en assurant l'interface entre la direction des ressources humaines et les collaborateurs.</w:t>
      </w:r>
    </w:p>
    <w:p>
      <w:pPr>
        <w:spacing w:before="320" w:after="120"/>
        <w:pBdr>
          <w:bottom w:val="single" w:sz="6" w:space="1" w:color="EADFCF"/>
        </w:pBdr>
      </w:pPr>
      <w:r>
        <w:rPr>
          <w:b/>
          <w:color w:val="A16007"/>
          <w:sz w:val="25"/>
        </w:rPr>
        <w:t>3. MISSIONS ET ACTIVITÉS PRINCIPALES</w:t>
      </w:r>
    </w:p>
    <w:p>
      <w:pPr>
        <w:pStyle w:val="ListBullet"/>
        <w:spacing w:after="60"/>
      </w:pPr>
      <w:r>
        <w:rPr>
          <w:sz w:val="21"/>
        </w:rPr>
        <w:t>Tenir à jour les dossiers individuels des salariés et rédiger/suivre les contrats de travail</w:t>
      </w:r>
    </w:p>
    <w:p>
      <w:pPr>
        <w:pStyle w:val="ListBullet"/>
        <w:spacing w:after="60"/>
      </w:pPr>
      <w:r>
        <w:rPr>
          <w:sz w:val="21"/>
        </w:rPr>
        <w:t>Gérer les absences, congés et relations avec la médecine du travail</w:t>
      </w:r>
    </w:p>
    <w:p>
      <w:pPr>
        <w:pStyle w:val="ListBullet"/>
        <w:spacing w:after="60"/>
      </w:pPr>
      <w:r>
        <w:rPr>
          <w:sz w:val="21"/>
        </w:rPr>
        <w:t>Préparer les éléments variables de paie et vérifier la conformité des bulletins (art. L.3243-1 et L.3243-2 du Code du travail)</w:t>
      </w:r>
    </w:p>
    <w:p>
      <w:pPr>
        <w:pStyle w:val="ListBullet"/>
        <w:spacing w:after="60"/>
      </w:pPr>
      <w:r>
        <w:rPr>
          <w:sz w:val="21"/>
        </w:rPr>
        <w:t>Rédiger et diffuser les offres d'emploi, trier les candidatures, organiser les entretiens</w:t>
      </w:r>
    </w:p>
    <w:p>
      <w:pPr>
        <w:pStyle w:val="ListBullet"/>
        <w:spacing w:after="60"/>
      </w:pPr>
      <w:r>
        <w:rPr>
          <w:sz w:val="21"/>
        </w:rPr>
        <w:t>Assurer le suivi administratif de la formation (relations OPCO, convocations, attestations)</w:t>
      </w:r>
    </w:p>
    <w:p>
      <w:pPr>
        <w:pStyle w:val="ListBullet"/>
        <w:spacing w:after="60"/>
      </w:pPr>
      <w:r>
        <w:rPr>
          <w:sz w:val="21"/>
        </w:rPr>
        <w:t>Veiller au respect du RGPD dans le traitement des données RH</w:t>
      </w:r>
    </w:p>
    <w:p>
      <w:pPr>
        <w:spacing w:before="320" w:after="120"/>
        <w:pBdr>
          <w:bottom w:val="single" w:sz="6" w:space="1" w:color="EADFCF"/>
        </w:pBdr>
      </w:pPr>
      <w:r>
        <w:rPr>
          <w:b/>
          <w:color w:val="A16007"/>
          <w:sz w:val="25"/>
        </w:rPr>
        <w:t>4. COMPÉTENCES REQUISES</w:t>
      </w:r>
    </w:p>
    <w:p>
      <w:r>
        <w:rPr>
          <w:b/>
          <w:color w:val="7C2D12"/>
          <w:sz w:val="21"/>
        </w:rPr>
        <w:t>Compétences techniques</w:t>
      </w:r>
    </w:p>
    <w:p>
      <w:pPr>
        <w:pStyle w:val="ListBullet"/>
        <w:spacing w:after="60"/>
      </w:pPr>
      <w:r>
        <w:rPr>
          <w:sz w:val="21"/>
        </w:rPr>
        <w:t>Bases de droit du travail et droit social</w:t>
      </w:r>
    </w:p>
    <w:p>
      <w:pPr>
        <w:pStyle w:val="ListBullet"/>
        <w:spacing w:after="60"/>
      </w:pPr>
      <w:r>
        <w:rPr>
          <w:sz w:val="21"/>
        </w:rPr>
        <w:t>Maîtrise d'un ou plusieurs SIRH (ex. PayFit, Lucca, ADP) et d'Excel</w:t>
      </w:r>
    </w:p>
    <w:p>
      <w:pPr>
        <w:pStyle w:val="ListBullet"/>
        <w:spacing w:after="60"/>
      </w:pPr>
      <w:r>
        <w:rPr>
          <w:sz w:val="21"/>
        </w:rPr>
        <w:t>Connaissance des obligations RGPD appliquées aux données RH</w:t>
      </w:r>
    </w:p>
    <w:p>
      <w:r>
        <w:rPr>
          <w:b/>
          <w:color w:val="7C2D12"/>
          <w:sz w:val="21"/>
        </w:rPr>
        <w:t>Compétences comportementales</w:t>
      </w:r>
    </w:p>
    <w:p>
      <w:pPr>
        <w:pStyle w:val="ListBullet"/>
        <w:spacing w:after="60"/>
      </w:pPr>
      <w:r>
        <w:rPr>
          <w:sz w:val="21"/>
        </w:rPr>
        <w:t>Discrétion et sens de la confidentialité</w:t>
      </w:r>
    </w:p>
    <w:p>
      <w:pPr>
        <w:pStyle w:val="ListBullet"/>
        <w:spacing w:after="60"/>
      </w:pPr>
      <w:r>
        <w:rPr>
          <w:sz w:val="21"/>
        </w:rPr>
        <w:t>Rigueur organisationnelle et capacité à gérer des priorités multiples</w:t>
      </w:r>
    </w:p>
    <w:p>
      <w:pPr>
        <w:pStyle w:val="ListBullet"/>
        <w:spacing w:after="60"/>
      </w:pPr>
      <w:r>
        <w:rPr>
          <w:sz w:val="21"/>
        </w:rPr>
        <w:t>Aisance relationnelle avec des interlocuteurs variés</w:t>
      </w:r>
    </w:p>
    <w:p>
      <w:pPr>
        <w:spacing w:before="320" w:after="120"/>
        <w:pBdr>
          <w:bottom w:val="single" w:sz="6" w:space="1" w:color="EADFCF"/>
        </w:pBdr>
      </w:pPr>
      <w:r>
        <w:rPr>
          <w:b/>
          <w:color w:val="A16007"/>
          <w:sz w:val="25"/>
        </w:rPr>
        <w:t>5. FORMATION ET EXPÉRIENCE</w:t>
      </w:r>
    </w:p>
    <w:p>
      <w:pPr>
        <w:spacing w:after="160"/>
      </w:pPr>
      <w:r>
        <w:rPr>
          <w:i w:val="0"/>
          <w:sz w:val="21"/>
        </w:rPr>
        <w:t>Bac+2 à Bac+3 (BTS Gestion de la PME, BUT GEA, Licence professionnelle métiers RH ou titre professionnel RNCP). Accessible en alternance ou en reconversion. Une première expérience en administration du personnel est appréciée mais pas toujours exigée en début de carrière.</w:t>
      </w:r>
    </w:p>
    <w:p>
      <w:pPr>
        <w:spacing w:before="320" w:after="120"/>
        <w:pBdr>
          <w:bottom w:val="single" w:sz="6" w:space="1" w:color="EADFCF"/>
        </w:pBdr>
      </w:pPr>
      <w:r>
        <w:rPr>
          <w:b/>
          <w:color w:val="A16007"/>
          <w:sz w:val="25"/>
        </w:rPr>
        <w:t>6. CONDITIONS D'EXERCICE</w:t>
      </w:r>
    </w:p>
    <w:p>
      <w:pPr>
        <w:pStyle w:val="ListBullet"/>
        <w:spacing w:after="60"/>
      </w:pPr>
      <w:r>
        <w:rPr>
          <w:sz w:val="21"/>
        </w:rPr>
        <w:t>Horaires : 35h/39h hebdomadaires selon accord d'entreprise</w:t>
      </w:r>
    </w:p>
    <w:p>
      <w:pPr>
        <w:pStyle w:val="ListBullet"/>
        <w:spacing w:after="60"/>
      </w:pPr>
      <w:r>
        <w:rPr>
          <w:sz w:val="21"/>
        </w:rPr>
        <w:t>Déplacements : ponctuels (forums recrutement, sites secondaires)</w:t>
      </w:r>
    </w:p>
    <w:p>
      <w:pPr>
        <w:pStyle w:val="ListBullet"/>
        <w:spacing w:after="60"/>
      </w:pPr>
      <w:r>
        <w:rPr>
          <w:sz w:val="21"/>
        </w:rPr>
        <w:t>Télétravail : selon accord d'entreprise, généralement 1 à 2 jours/semaine</w:t>
      </w:r>
    </w:p>
    <w:p>
      <w:pPr>
        <w:pStyle w:val="ListBullet"/>
        <w:spacing w:after="60"/>
      </w:pPr>
      <w:r>
        <w:rPr>
          <w:sz w:val="21"/>
        </w:rPr>
        <w:t>Contraintes spécifiques : accès à des données personnelles sensibles (RGPD)</w:t>
      </w:r>
    </w:p>
    <w:p>
      <w:pPr>
        <w:spacing w:before="320" w:after="120"/>
        <w:pBdr>
          <w:bottom w:val="single" w:sz="6" w:space="1" w:color="EADFCF"/>
        </w:pBdr>
      </w:pPr>
      <w:r>
        <w:rPr>
          <w:b/>
          <w:color w:val="A16007"/>
          <w:sz w:val="25"/>
        </w:rPr>
        <w:t>7. ÉVOLUTION POSSIBLE</w:t>
      </w:r>
    </w:p>
    <w:p>
      <w:pPr>
        <w:spacing w:after="160"/>
      </w:pPr>
      <w:r>
        <w:rPr>
          <w:i w:val="0"/>
          <w:sz w:val="21"/>
        </w:rPr>
        <w:t>Vers un poste de chargé de recrutement, gestionnaire de paie ou responsable formation après 2 à 4 ans. Poursuite d'études (master RH) possible vers un poste de RRH à moyen terme.</w:t>
      </w:r>
    </w:p>
    <w:p>
      <w:pPr>
        <w:spacing w:before="320" w:after="120"/>
        <w:pBdr>
          <w:bottom w:val="single" w:sz="6" w:space="1" w:color="EADFCF"/>
        </w:pBdr>
      </w:pPr>
      <w:r>
        <w:rPr>
          <w:b/>
          <w:color w:val="A16007"/>
          <w:sz w:val="25"/>
        </w:rPr>
        <w:t>8. VALIDATION</w:t>
      </w:r>
    </w:p>
    <w:tbl>
      <w:tblPr>
        <w:tblW w:type="auto" w:w="0"/>
        <w:jc w:val="left"/>
        <w:tblLayout w:type="autofit"/>
        <w:tblLook w:firstColumn="1" w:firstRow="1" w:lastColumn="0" w:lastRow="0" w:noHBand="0" w:noVBand="1" w:val="04A0"/>
      </w:tblPr>
      <w:tblGrid>
        <w:gridCol w:w="4320"/>
        <w:gridCol w:w="4320"/>
      </w:tblGrid>
      <w:tr>
        <w:tc>
          <w:tcPr>
            <w:tcW w:type="dxa" w:w="2835"/>
            <w:shd w:val="clear" w:fill="FAF5EF"/>
          </w:tcPr>
          <w:p>
            <w:r>
              <w:rPr>
                <w:b/>
                <w:color w:val="7C2D12"/>
                <w:sz w:val="21"/>
              </w:rPr>
              <w:t>Rédigé par</w:t>
            </w:r>
          </w:p>
        </w:tc>
        <w:tc>
          <w:tcPr>
            <w:tcW w:type="dxa" w:w="6236"/>
          </w:tcPr>
          <w:p>
            <w:r>
              <w:rPr>
                <w:sz w:val="21"/>
              </w:rPr>
              <w:t>[Nom, fonction]</w:t>
            </w:r>
          </w:p>
        </w:tc>
      </w:tr>
      <w:tr>
        <w:tc>
          <w:tcPr>
            <w:tcW w:type="dxa" w:w="2835"/>
            <w:shd w:val="clear" w:fill="FAF5EF"/>
          </w:tcPr>
          <w:p>
            <w:r>
              <w:rPr>
                <w:b/>
                <w:color w:val="7C2D12"/>
                <w:sz w:val="21"/>
              </w:rPr>
              <w:t>Date de rédaction</w:t>
            </w:r>
          </w:p>
        </w:tc>
        <w:tc>
          <w:tcPr>
            <w:tcW w:type="dxa" w:w="6236"/>
          </w:tcPr>
          <w:p>
            <w:r>
              <w:rPr>
                <w:sz w:val="21"/>
              </w:rPr>
              <w:t>[JJ/MM/AAAA]</w:t>
            </w:r>
          </w:p>
        </w:tc>
      </w:tr>
      <w:tr>
        <w:tc>
          <w:tcPr>
            <w:tcW w:type="dxa" w:w="2835"/>
            <w:shd w:val="clear" w:fill="FAF5EF"/>
          </w:tcPr>
          <w:p>
            <w:r>
              <w:rPr>
                <w:b/>
                <w:color w:val="7C2D12"/>
                <w:sz w:val="21"/>
              </w:rPr>
              <w:t>Date de révision prévue</w:t>
            </w:r>
          </w:p>
        </w:tc>
        <w:tc>
          <w:tcPr>
            <w:tcW w:type="dxa" w:w="6236"/>
          </w:tcPr>
          <w:p>
            <w:r>
              <w:rPr>
                <w:sz w:val="21"/>
              </w:rPr>
              <w:t>[JJ/MM/AAAA — une fiche de poste non révisée depuis plus de 2-3 ans perd sa valeur de preuve]</w:t>
            </w:r>
          </w:p>
        </w:tc>
      </w:tr>
      <w:tr>
        <w:tc>
          <w:tcPr>
            <w:tcW w:type="dxa" w:w="2835"/>
            <w:shd w:val="clear" w:fill="FAF5EF"/>
          </w:tcPr>
          <w:p>
            <w:r>
              <w:rPr>
                <w:b/>
                <w:color w:val="7C2D12"/>
                <w:sz w:val="21"/>
              </w:rPr>
              <w:t>Validé par</w:t>
            </w:r>
          </w:p>
        </w:tc>
        <w:tc>
          <w:tcPr>
            <w:tcW w:type="dxa" w:w="6236"/>
          </w:tcPr>
          <w:p>
            <w:r>
              <w:rPr>
                <w:sz w:val="21"/>
              </w:rPr>
              <w:t>[Nom, fonction]</w:t>
            </w:r>
          </w:p>
        </w:tc>
      </w:tr>
    </w:tbl>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3B30"/>
        <w:sz w:val="16"/>
      </w:rPr>
      <w:t>Modèle fourni par Cercle RH — cercle-rh.fr — à adapter à votre organisation et à votre convention collective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